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D4CEE2C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0557E337" w14:textId="5095111E" w:rsidR="00F471CE" w:rsidRPr="00FD5FBA" w:rsidRDefault="004E7D2F" w:rsidP="0007415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  <w:r w:rsidR="00872B1E">
              <w:rPr>
                <w:rFonts w:cstheme="minorHAnsi"/>
                <w:bCs/>
              </w:rPr>
              <w:t>.2</w:t>
            </w:r>
            <w:r w:rsidR="004B4A27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Global Markets and Business expansion </w:t>
            </w:r>
          </w:p>
          <w:p w14:paraId="757809B9" w14:textId="1A73FD55" w:rsidR="008E39B4" w:rsidRPr="00811F13" w:rsidRDefault="008E39B4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09159CB2" w14:textId="77777777" w:rsidR="00346D0E" w:rsidRDefault="008E39B4" w:rsidP="00346D0E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D53F23B" w14:textId="77777777" w:rsidR="001F7779" w:rsidRDefault="00821F78" w:rsidP="004E7D2F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</w:p>
          <w:p w14:paraId="4C75361B" w14:textId="73B5C059" w:rsidR="004E7D2F" w:rsidRPr="004E7D2F" w:rsidRDefault="004E7D2F" w:rsidP="004E7D2F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Once the topic of globalisation and the factors tha</w:t>
            </w:r>
            <w:r w:rsidR="00FB10A1">
              <w:rPr>
                <w:rFonts w:cstheme="minorHAnsi"/>
                <w:bCs/>
              </w:rPr>
              <w:t xml:space="preserve">t are driving it are covered, focus goes on why companies want to expand into global markets and what factors might drive them into global business expansion. </w:t>
            </w:r>
            <w:r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64C1F9B4" w14:textId="03481789" w:rsidR="004B0C31" w:rsidRDefault="009061D8" w:rsidP="00FB10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44292">
              <w:rPr>
                <w:rFonts w:cstheme="minorHAnsi"/>
                <w:color w:val="000000" w:themeColor="text1"/>
                <w:sz w:val="20"/>
                <w:szCs w:val="20"/>
              </w:rPr>
              <w:t>Push Factors</w:t>
            </w:r>
          </w:p>
          <w:p w14:paraId="7FBB9425" w14:textId="0FEADA32" w:rsidR="00D44292" w:rsidRDefault="00D44292" w:rsidP="00FB10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Pull Factors</w:t>
            </w:r>
          </w:p>
          <w:p w14:paraId="3FC16D88" w14:textId="6A7CA859" w:rsidR="00D44292" w:rsidRDefault="00D44292" w:rsidP="00FB10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Off-shoring</w:t>
            </w:r>
          </w:p>
          <w:p w14:paraId="4B535D09" w14:textId="63009D9A" w:rsidR="00D44292" w:rsidRDefault="00D44292" w:rsidP="00FB10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Outsourcing </w:t>
            </w:r>
          </w:p>
          <w:p w14:paraId="29AB01F3" w14:textId="0CA6B5AB" w:rsidR="00D44292" w:rsidRDefault="00D44292" w:rsidP="00FB10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Product Life Cycle</w:t>
            </w:r>
          </w:p>
          <w:p w14:paraId="7294283A" w14:textId="03A4B886" w:rsidR="00D44292" w:rsidRDefault="00D44292" w:rsidP="00FB10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Costs of production</w:t>
            </w:r>
          </w:p>
          <w:p w14:paraId="6147ADB7" w14:textId="57B5C72D" w:rsidR="00D44292" w:rsidRDefault="00D44292" w:rsidP="00FB10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Infrastructure</w:t>
            </w:r>
          </w:p>
          <w:p w14:paraId="73A6F9F6" w14:textId="38AEBB90" w:rsidR="00D44292" w:rsidRDefault="00D44292" w:rsidP="00FB10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Trade Blocs</w:t>
            </w:r>
          </w:p>
          <w:p w14:paraId="225E44F4" w14:textId="5E2EB369" w:rsidR="00D44292" w:rsidRDefault="00D44292" w:rsidP="00FB10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Global competitiveness </w:t>
            </w:r>
          </w:p>
          <w:p w14:paraId="40A5A932" w14:textId="5E43F540" w:rsidR="00D44292" w:rsidRDefault="00D44292" w:rsidP="00FB10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Exchange rates</w:t>
            </w:r>
          </w:p>
          <w:p w14:paraId="70246EDD" w14:textId="54073EB6" w:rsidR="00D44292" w:rsidRDefault="00D44292" w:rsidP="00FB10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Cost leadership</w:t>
            </w:r>
          </w:p>
          <w:p w14:paraId="002F1F0E" w14:textId="7F7AF091" w:rsidR="00D44292" w:rsidRDefault="00D44292" w:rsidP="00FB10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Differentiation </w:t>
            </w:r>
          </w:p>
          <w:p w14:paraId="2A6BD7FF" w14:textId="714CA5DF" w:rsidR="00D44292" w:rsidRDefault="00D44292" w:rsidP="00FB10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Skill shortages</w:t>
            </w:r>
          </w:p>
          <w:p w14:paraId="62AEAE99" w14:textId="77777777" w:rsidR="004B0C31" w:rsidRPr="00811F13" w:rsidRDefault="004B0C31" w:rsidP="00872B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147324" w14:textId="11D731BC" w:rsidR="00A757C9" w:rsidRPr="00811F13" w:rsidRDefault="00A757C9" w:rsidP="00A757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872B1E">
        <w:trPr>
          <w:trHeight w:val="3024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77687C4C" w14:textId="1E97E538" w:rsidR="00FB10A1" w:rsidRDefault="00FB10A1" w:rsidP="00FB10A1">
            <w:r>
              <w:t>4.2.1 – Conditions that prompt trade – Push and pull factors, possibility of off-shoring and outsourcing and extending the product life cycle by selling in multiple markets</w:t>
            </w:r>
          </w:p>
          <w:p w14:paraId="7481A347" w14:textId="1E1EB8CA" w:rsidR="00FB10A1" w:rsidRDefault="00FB10A1" w:rsidP="00FB10A1">
            <w:r>
              <w:t>4.2.2 – Assessment of a country as a market – Consider; levels and growth of disposable income, ease of doing business, infrastructure, political stability and exchange rate</w:t>
            </w:r>
          </w:p>
          <w:p w14:paraId="52822F22" w14:textId="73B16935" w:rsidR="00FB10A1" w:rsidRDefault="00FB10A1" w:rsidP="00FB10A1">
            <w:r>
              <w:t xml:space="preserve">4.2.3 – Assess of a country as a production location – Consider; costs of production, skills and availability of workforce, infrastructure, location in trade bloc, government incentives, ease of doing business, political stability, natural resources and likely return on investment </w:t>
            </w:r>
          </w:p>
          <w:p w14:paraId="781E0691" w14:textId="6E445264" w:rsidR="00FB10A1" w:rsidRDefault="00FB10A1" w:rsidP="00FB10A1">
            <w:r>
              <w:t xml:space="preserve">4.2.4 – Reasons for global mergers or joint ventures – spreading risk over different countries / regions, entering new markets / trade blocs, acquiring national / international brand names / patents, securing </w:t>
            </w:r>
            <w:r w:rsidR="00D44292">
              <w:t xml:space="preserve">resources / supplies and maintaining / increasing global competitiveness </w:t>
            </w:r>
          </w:p>
          <w:p w14:paraId="704CD9BE" w14:textId="5AC1944F" w:rsidR="00872B1E" w:rsidRPr="0037146A" w:rsidRDefault="00D44292" w:rsidP="00872B1E">
            <w:r>
              <w:t>4.2.5 – Global Competitiveness – The impact of movements in exchange rates, competitive advantage through cost competitiveness or differentiation and skill shortages and their impact on international competitiveness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91811">
        <w:trPr>
          <w:trHeight w:val="1249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6CC86F6A" w:rsidR="002A195D" w:rsidRPr="001F7779" w:rsidRDefault="00872B1E" w:rsidP="00D4429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Lots of examples of </w:t>
            </w:r>
            <w:r w:rsidR="00D44292">
              <w:rPr>
                <w:rFonts w:cstheme="minorHAnsi"/>
                <w:color w:val="000000" w:themeColor="text1"/>
              </w:rPr>
              <w:t xml:space="preserve">these factors in the business news and Business Review articles. 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1F7779">
        <w:trPr>
          <w:trHeight w:val="9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3E27B02D" w:rsidR="00811F13" w:rsidRPr="002A195D" w:rsidRDefault="00D44292" w:rsidP="00C91811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>
              <w:rPr>
                <w:rFonts w:cstheme="minorHAnsi"/>
                <w:bCs/>
                <w:color w:val="000000" w:themeColor="text1"/>
              </w:rPr>
              <w:t>Summative Assessment worksheets on topics</w:t>
            </w:r>
            <w:bookmarkStart w:id="0" w:name="_GoBack"/>
            <w:bookmarkEnd w:id="0"/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D44292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DB9B1" w14:textId="77777777" w:rsidR="00C1340F" w:rsidRDefault="00C1340F" w:rsidP="00017B74">
      <w:pPr>
        <w:spacing w:after="0" w:line="240" w:lineRule="auto"/>
      </w:pPr>
      <w:r>
        <w:separator/>
      </w:r>
    </w:p>
  </w:endnote>
  <w:endnote w:type="continuationSeparator" w:id="0">
    <w:p w14:paraId="12F9CDD0" w14:textId="77777777" w:rsidR="00C1340F" w:rsidRDefault="00C1340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BD62B" w14:textId="77777777" w:rsidR="00C1340F" w:rsidRDefault="00C1340F" w:rsidP="00017B74">
      <w:pPr>
        <w:spacing w:after="0" w:line="240" w:lineRule="auto"/>
      </w:pPr>
      <w:r>
        <w:separator/>
      </w:r>
    </w:p>
  </w:footnote>
  <w:footnote w:type="continuationSeparator" w:id="0">
    <w:p w14:paraId="14FA8651" w14:textId="77777777" w:rsidR="00C1340F" w:rsidRDefault="00C1340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25540"/>
    <w:multiLevelType w:val="multilevel"/>
    <w:tmpl w:val="5EB26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9000A5"/>
    <w:multiLevelType w:val="multilevel"/>
    <w:tmpl w:val="AA7A8B0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415F"/>
    <w:rsid w:val="001F7779"/>
    <w:rsid w:val="002A195D"/>
    <w:rsid w:val="002B0167"/>
    <w:rsid w:val="00326F13"/>
    <w:rsid w:val="00346D0E"/>
    <w:rsid w:val="0037146A"/>
    <w:rsid w:val="003E6B6F"/>
    <w:rsid w:val="00440E6C"/>
    <w:rsid w:val="00444CB7"/>
    <w:rsid w:val="0046538E"/>
    <w:rsid w:val="004662F8"/>
    <w:rsid w:val="00487E07"/>
    <w:rsid w:val="00494022"/>
    <w:rsid w:val="004B0C31"/>
    <w:rsid w:val="004B17FA"/>
    <w:rsid w:val="004B4A27"/>
    <w:rsid w:val="004E7D2F"/>
    <w:rsid w:val="00545283"/>
    <w:rsid w:val="005C250D"/>
    <w:rsid w:val="005F163F"/>
    <w:rsid w:val="005F4E99"/>
    <w:rsid w:val="007146EF"/>
    <w:rsid w:val="0076728B"/>
    <w:rsid w:val="00784057"/>
    <w:rsid w:val="00811F13"/>
    <w:rsid w:val="00821F78"/>
    <w:rsid w:val="0083335D"/>
    <w:rsid w:val="00847F4E"/>
    <w:rsid w:val="00867D25"/>
    <w:rsid w:val="00872B1E"/>
    <w:rsid w:val="008B1952"/>
    <w:rsid w:val="008E39B4"/>
    <w:rsid w:val="009061D8"/>
    <w:rsid w:val="00917E0B"/>
    <w:rsid w:val="00941820"/>
    <w:rsid w:val="00A23F48"/>
    <w:rsid w:val="00A314F1"/>
    <w:rsid w:val="00A548B4"/>
    <w:rsid w:val="00A757C9"/>
    <w:rsid w:val="00B47DF2"/>
    <w:rsid w:val="00BA646E"/>
    <w:rsid w:val="00C1340F"/>
    <w:rsid w:val="00C91811"/>
    <w:rsid w:val="00CA59AB"/>
    <w:rsid w:val="00D26324"/>
    <w:rsid w:val="00D44292"/>
    <w:rsid w:val="00D67D54"/>
    <w:rsid w:val="00D71A27"/>
    <w:rsid w:val="00DB0006"/>
    <w:rsid w:val="00DC23A5"/>
    <w:rsid w:val="00E5371A"/>
    <w:rsid w:val="00E64F4C"/>
    <w:rsid w:val="00E77603"/>
    <w:rsid w:val="00EA3D3A"/>
    <w:rsid w:val="00EC7172"/>
    <w:rsid w:val="00F43D58"/>
    <w:rsid w:val="00F471CE"/>
    <w:rsid w:val="00F9765D"/>
    <w:rsid w:val="00FB10A1"/>
    <w:rsid w:val="00FB7D5A"/>
    <w:rsid w:val="00FD5FB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CE217280FDA4F915D3F45A704C5C9" ma:contentTypeVersion="14" ma:contentTypeDescription="Create a new document." ma:contentTypeScope="" ma:versionID="76b4ffd767525774c64e5bfc22892fe0">
  <xsd:schema xmlns:xsd="http://www.w3.org/2001/XMLSchema" xmlns:xs="http://www.w3.org/2001/XMLSchema" xmlns:p="http://schemas.microsoft.com/office/2006/metadata/properties" xmlns:ns3="35818081-bca2-4bd4-854d-6ba26da810c3" xmlns:ns4="3e044cb3-0846-4a39-8369-da1e000195f9" targetNamespace="http://schemas.microsoft.com/office/2006/metadata/properties" ma:root="true" ma:fieldsID="cb5681a617fa6bab85727ba5d07cf10a" ns3:_="" ns4:_="">
    <xsd:import namespace="35818081-bca2-4bd4-854d-6ba26da810c3"/>
    <xsd:import namespace="3e044cb3-0846-4a39-8369-da1e000195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8081-bca2-4bd4-854d-6ba26da81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44cb3-0846-4a39-8369-da1e0001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315D3-E062-4391-B431-C40AE9A8B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18081-bca2-4bd4-854d-6ba26da810c3"/>
    <ds:schemaRef ds:uri="3e044cb3-0846-4a39-8369-da1e00019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35818081-bca2-4bd4-854d-6ba26da810c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e044cb3-0846-4a39-8369-da1e000195f9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60C948-CB26-4E7F-9EAB-3CADF836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KTyler</cp:lastModifiedBy>
  <cp:revision>7</cp:revision>
  <dcterms:created xsi:type="dcterms:W3CDTF">2022-05-10T12:00:00Z</dcterms:created>
  <dcterms:modified xsi:type="dcterms:W3CDTF">2022-05-24T10:31:00Z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0x0101004B3CE217280FDA4F915D3F45A704C5C9</vt:lpwstr>
  </property>
</Properties>
</file>